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74" w:rsidRPr="00653C22" w:rsidRDefault="001C6274" w:rsidP="00653C22">
      <w:pPr>
        <w:jc w:val="right"/>
        <w:rPr>
          <w:rFonts w:ascii="PT Astra Serif" w:hAnsi="PT Astra Serif" w:cs="Times New Roman"/>
          <w:sz w:val="28"/>
          <w:szCs w:val="28"/>
        </w:rPr>
      </w:pPr>
      <w:r w:rsidRPr="00653C22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653C22">
        <w:rPr>
          <w:rFonts w:ascii="PT Astra Serif" w:hAnsi="PT Astra Serif" w:cs="Times New Roman"/>
          <w:sz w:val="28"/>
          <w:szCs w:val="28"/>
        </w:rPr>
        <w:t xml:space="preserve">                              </w:t>
      </w:r>
      <w:r w:rsidRPr="00653C22">
        <w:rPr>
          <w:rFonts w:ascii="PT Astra Serif" w:hAnsi="PT Astra Serif" w:cs="Times New Roman"/>
          <w:sz w:val="28"/>
          <w:szCs w:val="28"/>
        </w:rPr>
        <w:t>Приложение 4</w:t>
      </w:r>
    </w:p>
    <w:p w:rsidR="001C6274" w:rsidRPr="00653C22" w:rsidRDefault="002766B3" w:rsidP="00906773">
      <w:pPr>
        <w:jc w:val="center"/>
        <w:rPr>
          <w:rFonts w:ascii="PT Astra Serif" w:hAnsi="PT Astra Serif"/>
          <w:sz w:val="28"/>
          <w:szCs w:val="28"/>
        </w:rPr>
      </w:pPr>
      <w:r w:rsidRPr="00653C22">
        <w:rPr>
          <w:rFonts w:ascii="PT Astra Serif" w:hAnsi="PT Astra Serif" w:cs="Times New Roman"/>
          <w:b/>
          <w:sz w:val="28"/>
          <w:szCs w:val="28"/>
        </w:rPr>
        <w:t>Сводный отчет об оценке эффективности налоговых расходов города Барнаула за 202</w:t>
      </w:r>
      <w:r w:rsidR="00653C22" w:rsidRPr="00653C22">
        <w:rPr>
          <w:rFonts w:ascii="PT Astra Serif" w:hAnsi="PT Astra Serif" w:cs="Times New Roman"/>
          <w:b/>
          <w:sz w:val="28"/>
          <w:szCs w:val="28"/>
        </w:rPr>
        <w:t>4</w:t>
      </w:r>
      <w:r w:rsidRPr="00653C22">
        <w:rPr>
          <w:rFonts w:ascii="PT Astra Serif" w:hAnsi="PT Astra Serif" w:cs="Times New Roman"/>
          <w:b/>
          <w:sz w:val="28"/>
          <w:szCs w:val="28"/>
        </w:rPr>
        <w:t xml:space="preserve"> год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489"/>
        <w:gridCol w:w="2268"/>
        <w:gridCol w:w="2269"/>
        <w:gridCol w:w="1843"/>
        <w:gridCol w:w="2835"/>
        <w:gridCol w:w="1984"/>
      </w:tblGrid>
      <w:tr w:rsidR="000F09D1" w:rsidRPr="00653C22" w:rsidTr="00B127FE">
        <w:trPr>
          <w:cantSplit/>
          <w:trHeight w:val="2137"/>
        </w:trPr>
        <w:tc>
          <w:tcPr>
            <w:tcW w:w="617" w:type="dxa"/>
            <w:shd w:val="clear" w:color="auto" w:fill="auto"/>
            <w:hideMark/>
          </w:tcPr>
          <w:p w:rsidR="000F09D1" w:rsidRPr="00653C22" w:rsidRDefault="000F09D1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0F09D1" w:rsidRPr="00653C22" w:rsidRDefault="000F09D1" w:rsidP="00B127FE">
            <w:pPr>
              <w:spacing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Наименование налогового расхода города Барнаула 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F09D1" w:rsidRPr="00653C22" w:rsidRDefault="000F09D1" w:rsidP="00B127FE">
            <w:pPr>
              <w:spacing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Реквизиты муниципального правового акта, устанавливающего налоговую льготу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0F09D1" w:rsidRPr="00653C22" w:rsidRDefault="000F09D1" w:rsidP="00B127FE">
            <w:pPr>
              <w:spacing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Численность плательщиков налогов и сборов, воспользовавшихся налоговой льготой в отчетном периоде (единиц)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F09D1" w:rsidRPr="00653C22" w:rsidRDefault="000F09D1" w:rsidP="00B127FE">
            <w:pPr>
              <w:spacing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Объем налоговых льгот за отчетный период (тыс. рублей)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F09D1" w:rsidRPr="00653C22" w:rsidRDefault="000F09D1" w:rsidP="00B127FE">
            <w:pPr>
              <w:spacing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09D1" w:rsidRPr="00653C22" w:rsidRDefault="000F09D1" w:rsidP="00B127FE">
            <w:pPr>
              <w:spacing w:line="235" w:lineRule="auto"/>
              <w:ind w:left="-109" w:right="-107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Эффективность налоговой льготы (да/нет)</w:t>
            </w:r>
          </w:p>
        </w:tc>
      </w:tr>
      <w:tr w:rsidR="001C6274" w:rsidRPr="00653C22" w:rsidTr="00B127FE">
        <w:trPr>
          <w:trHeight w:val="170"/>
        </w:trPr>
        <w:tc>
          <w:tcPr>
            <w:tcW w:w="617" w:type="dxa"/>
            <w:shd w:val="clear" w:color="auto" w:fill="auto"/>
            <w:vAlign w:val="center"/>
            <w:hideMark/>
          </w:tcPr>
          <w:p w:rsidR="001C6274" w:rsidRPr="00653C22" w:rsidRDefault="001C6274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1C6274" w:rsidRPr="00653C22" w:rsidRDefault="001C6274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C6274" w:rsidRPr="00653C22" w:rsidRDefault="001C6274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1C6274" w:rsidRPr="00653C22" w:rsidRDefault="001C6274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C6274" w:rsidRPr="00653C22" w:rsidRDefault="001C6274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C6274" w:rsidRPr="00653C22" w:rsidRDefault="001C6274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C6274" w:rsidRPr="00653C22" w:rsidRDefault="001C6274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C6274" w:rsidRPr="00653C22" w:rsidTr="00653C22">
        <w:trPr>
          <w:trHeight w:val="174"/>
        </w:trPr>
        <w:tc>
          <w:tcPr>
            <w:tcW w:w="15305" w:type="dxa"/>
            <w:gridSpan w:val="7"/>
            <w:shd w:val="clear" w:color="auto" w:fill="auto"/>
            <w:vAlign w:val="center"/>
            <w:hideMark/>
          </w:tcPr>
          <w:p w:rsidR="001C6274" w:rsidRPr="00653C22" w:rsidRDefault="001C6274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</w:tr>
      <w:tr w:rsidR="00653C22" w:rsidRPr="00653C22" w:rsidTr="00B127FE">
        <w:trPr>
          <w:trHeight w:val="2588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  <w:r w:rsidRPr="00653C22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3489" w:type="dxa"/>
            <w:shd w:val="clear" w:color="auto" w:fill="auto"/>
            <w:hideMark/>
          </w:tcPr>
          <w:p w:rsidR="00653C22" w:rsidRPr="00653C22" w:rsidRDefault="00653C22" w:rsidP="00B127FE">
            <w:pPr>
              <w:spacing w:line="235" w:lineRule="auto"/>
              <w:rPr>
                <w:rFonts w:ascii="PT Astra Serif" w:hAnsi="PT Astra Serif"/>
                <w:sz w:val="24"/>
              </w:rPr>
            </w:pPr>
            <w:r w:rsidRPr="00653C22">
              <w:rPr>
                <w:rFonts w:ascii="PT Astra Serif" w:hAnsi="PT Astra Serif"/>
                <w:sz w:val="24"/>
              </w:rPr>
              <w:t xml:space="preserve">Освобождение от уплаты налога на имущество физических лиц детей-сирот и детей, оставшихся без попечения родителей, </w:t>
            </w:r>
            <w:r>
              <w:rPr>
                <w:rFonts w:ascii="PT Astra Serif" w:hAnsi="PT Astra Serif"/>
                <w:sz w:val="24"/>
              </w:rPr>
              <w:br/>
            </w:r>
            <w:r w:rsidRPr="00653C22">
              <w:rPr>
                <w:rFonts w:ascii="PT Astra Serif" w:hAnsi="PT Astra Serif"/>
                <w:sz w:val="24"/>
              </w:rPr>
              <w:t>в возрасте до 18 лет включительно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rPr>
                <w:rFonts w:ascii="PT Astra Serif" w:hAnsi="PT Astra Serif"/>
                <w:sz w:val="24"/>
              </w:rPr>
            </w:pPr>
            <w:r w:rsidRPr="00653C22">
              <w:rPr>
                <w:rFonts w:ascii="PT Astra Serif" w:hAnsi="PT Astra Serif"/>
                <w:sz w:val="24"/>
              </w:rPr>
              <w:t>Решение Барнаульской гор</w:t>
            </w:r>
            <w:r>
              <w:rPr>
                <w:rFonts w:ascii="PT Astra Serif" w:hAnsi="PT Astra Serif"/>
                <w:sz w:val="24"/>
              </w:rPr>
              <w:t xml:space="preserve">одской Думы </w:t>
            </w:r>
            <w:r>
              <w:rPr>
                <w:rFonts w:ascii="PT Astra Serif" w:hAnsi="PT Astra Serif"/>
                <w:sz w:val="24"/>
              </w:rPr>
              <w:br/>
              <w:t xml:space="preserve">от 09.10.2019 №381 </w:t>
            </w:r>
            <w:r>
              <w:rPr>
                <w:rFonts w:ascii="PT Astra Serif" w:hAnsi="PT Astra Serif"/>
                <w:sz w:val="24"/>
              </w:rPr>
              <w:br/>
              <w:t>«</w:t>
            </w:r>
            <w:r w:rsidRPr="00653C22">
              <w:rPr>
                <w:rFonts w:ascii="PT Astra Serif" w:hAnsi="PT Astra Serif"/>
                <w:sz w:val="24"/>
              </w:rPr>
              <w:t>О налоге на имущество физических ли</w:t>
            </w:r>
            <w:r>
              <w:rPr>
                <w:rFonts w:ascii="PT Astra Serif" w:hAnsi="PT Astra Serif"/>
                <w:sz w:val="24"/>
              </w:rPr>
              <w:t>ц на территории города Барнаула»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  <w:r w:rsidRPr="00653C22">
              <w:rPr>
                <w:rFonts w:ascii="PT Astra Serif" w:hAnsi="PT Astra Serif"/>
                <w:sz w:val="24"/>
              </w:rPr>
              <w:t>48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  <w:r w:rsidRPr="00653C22">
              <w:rPr>
                <w:rFonts w:ascii="PT Astra Serif" w:hAnsi="PT Astra Serif"/>
                <w:sz w:val="24"/>
              </w:rPr>
              <w:t>44,5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rPr>
                <w:rFonts w:ascii="PT Astra Serif" w:hAnsi="PT Astra Serif"/>
                <w:sz w:val="24"/>
              </w:rPr>
            </w:pPr>
            <w:r w:rsidRPr="00653C22">
              <w:rPr>
                <w:rFonts w:ascii="PT Astra Serif" w:hAnsi="PT Astra Serif"/>
                <w:sz w:val="24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  <w:r w:rsidRPr="00653C22">
              <w:rPr>
                <w:rFonts w:ascii="PT Astra Serif" w:hAnsi="PT Astra Serif"/>
                <w:sz w:val="24"/>
              </w:rPr>
              <w:t>Да</w:t>
            </w:r>
          </w:p>
        </w:tc>
      </w:tr>
      <w:tr w:rsidR="00653C22" w:rsidRPr="00653C22" w:rsidTr="00B127FE">
        <w:trPr>
          <w:trHeight w:val="515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53C22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489" w:type="dxa"/>
            <w:shd w:val="clear" w:color="auto" w:fill="auto"/>
            <w:hideMark/>
          </w:tcPr>
          <w:p w:rsidR="00653C22" w:rsidRPr="00653C22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53C22">
              <w:rPr>
                <w:rFonts w:ascii="PT Astra Serif" w:hAnsi="PT Astra Serif"/>
                <w:sz w:val="24"/>
                <w:szCs w:val="24"/>
              </w:rPr>
              <w:t>Освобождение от уплаты налога на имущество физических лиц членов многодетных семей, признанных малоимущими в соответствии с Федеральным законом от 17.07.1999 №178</w:t>
            </w:r>
            <w:r>
              <w:rPr>
                <w:rFonts w:ascii="PT Astra Serif" w:hAnsi="PT Astra Serif"/>
                <w:sz w:val="24"/>
                <w:szCs w:val="24"/>
              </w:rPr>
              <w:t>-ФЗ «</w:t>
            </w:r>
            <w:r w:rsidRPr="00653C22">
              <w:rPr>
                <w:rFonts w:ascii="PT Astra Serif" w:hAnsi="PT Astra Serif"/>
                <w:sz w:val="24"/>
                <w:szCs w:val="24"/>
              </w:rPr>
              <w:t>О го</w:t>
            </w:r>
            <w:r>
              <w:rPr>
                <w:rFonts w:ascii="PT Astra Serif" w:hAnsi="PT Astra Serif"/>
                <w:sz w:val="24"/>
                <w:szCs w:val="24"/>
              </w:rPr>
              <w:t>сударственной социальной помощи»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53C22">
              <w:rPr>
                <w:rFonts w:ascii="PT Astra Serif" w:hAnsi="PT Astra Serif"/>
                <w:sz w:val="24"/>
                <w:szCs w:val="24"/>
              </w:rPr>
              <w:t>Решение Барнаульской гор</w:t>
            </w:r>
            <w:r>
              <w:rPr>
                <w:rFonts w:ascii="PT Astra Serif" w:hAnsi="PT Astra Serif"/>
                <w:sz w:val="24"/>
                <w:szCs w:val="24"/>
              </w:rPr>
              <w:t>одской Думы</w:t>
            </w:r>
            <w:r>
              <w:rPr>
                <w:rFonts w:ascii="PT Astra Serif" w:hAnsi="PT Astra Serif"/>
                <w:sz w:val="24"/>
                <w:szCs w:val="24"/>
              </w:rPr>
              <w:br/>
              <w:t>от 09.10.2019 №381 «</w:t>
            </w:r>
            <w:r w:rsidRPr="00653C22">
              <w:rPr>
                <w:rFonts w:ascii="PT Astra Serif" w:hAnsi="PT Astra Serif"/>
                <w:sz w:val="24"/>
                <w:szCs w:val="24"/>
              </w:rPr>
              <w:t>О налоге на имущество физических ли</w:t>
            </w:r>
            <w:r>
              <w:rPr>
                <w:rFonts w:ascii="PT Astra Serif" w:hAnsi="PT Astra Serif"/>
                <w:sz w:val="24"/>
                <w:szCs w:val="24"/>
              </w:rPr>
              <w:t>ц на территории города Барнаула»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53C22">
              <w:rPr>
                <w:rFonts w:ascii="PT Astra Serif" w:hAnsi="PT Astra Serif"/>
                <w:sz w:val="24"/>
                <w:szCs w:val="24"/>
              </w:rPr>
              <w:t>321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53C22">
              <w:rPr>
                <w:rFonts w:ascii="PT Astra Serif" w:hAnsi="PT Astra Serif"/>
                <w:sz w:val="24"/>
                <w:szCs w:val="24"/>
              </w:rPr>
              <w:t>318,8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53C22">
              <w:rPr>
                <w:rFonts w:ascii="PT Astra Serif" w:hAnsi="PT Astra Serif"/>
                <w:sz w:val="24"/>
                <w:szCs w:val="24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53C22">
              <w:rPr>
                <w:rFonts w:ascii="PT Astra Serif" w:hAnsi="PT Astra Serif"/>
                <w:sz w:val="24"/>
                <w:szCs w:val="24"/>
              </w:rPr>
              <w:t>Да</w:t>
            </w:r>
          </w:p>
        </w:tc>
      </w:tr>
      <w:tr w:rsidR="00653C22" w:rsidRPr="00653C22" w:rsidTr="00B127FE">
        <w:trPr>
          <w:trHeight w:val="231"/>
        </w:trPr>
        <w:tc>
          <w:tcPr>
            <w:tcW w:w="6374" w:type="dxa"/>
            <w:gridSpan w:val="3"/>
            <w:shd w:val="clear" w:color="auto" w:fill="auto"/>
            <w:vAlign w:val="center"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Итого по налогу на имущество физических лиц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  <w:r w:rsidRPr="00653C22">
              <w:rPr>
                <w:rFonts w:ascii="PT Astra Serif" w:hAnsi="PT Astra Serif"/>
                <w:sz w:val="24"/>
              </w:rPr>
              <w:t>369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  <w:r w:rsidRPr="00653C22">
              <w:rPr>
                <w:rFonts w:ascii="PT Astra Serif" w:hAnsi="PT Astra Serif"/>
                <w:sz w:val="24"/>
              </w:rPr>
              <w:t>363,3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53C22" w:rsidRPr="00653C22" w:rsidRDefault="00653C22" w:rsidP="00B127FE">
            <w:pPr>
              <w:spacing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C6274" w:rsidRPr="00653C22" w:rsidTr="00653C22">
        <w:trPr>
          <w:trHeight w:val="236"/>
        </w:trPr>
        <w:tc>
          <w:tcPr>
            <w:tcW w:w="15305" w:type="dxa"/>
            <w:gridSpan w:val="7"/>
            <w:shd w:val="clear" w:color="auto" w:fill="auto"/>
            <w:vAlign w:val="center"/>
            <w:hideMark/>
          </w:tcPr>
          <w:p w:rsidR="001C6274" w:rsidRPr="00653C22" w:rsidRDefault="001C6274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3C22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Земельный налог</w:t>
            </w:r>
          </w:p>
        </w:tc>
      </w:tr>
      <w:tr w:rsidR="00653C22" w:rsidRPr="00653C22" w:rsidTr="00B127FE">
        <w:trPr>
          <w:trHeight w:val="4195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Освобождение от уплаты земельного налога налогоплательщиков в отношении земельных участков, предназначенных для садоводства и огородничества, расположенные на территории городского округа - города Барнаула Алтайского края, и не используемых в предпринимательской деятельности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Решение Барнаульской гор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одской Думы от 09.10.2012 №839 «</w:t>
            </w:r>
            <w:r w:rsidRPr="00627624">
              <w:rPr>
                <w:rFonts w:ascii="PT Astra Serif" w:hAnsi="PT Astra Serif"/>
                <w:sz w:val="24"/>
                <w:szCs w:val="24"/>
              </w:rPr>
              <w:t xml:space="preserve">Об утверждении Положения о земельном налоге на территории городского округа - </w:t>
            </w:r>
            <w:r w:rsidR="00627624">
              <w:rPr>
                <w:rFonts w:ascii="PT Astra Serif" w:hAnsi="PT Astra Serif"/>
                <w:sz w:val="24"/>
                <w:szCs w:val="24"/>
              </w:rPr>
              <w:t>города Барнаула Алтайского края»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17 344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4 661,8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Да</w:t>
            </w:r>
          </w:p>
        </w:tc>
      </w:tr>
      <w:tr w:rsidR="00653C22" w:rsidRPr="00653C22" w:rsidTr="00B127FE">
        <w:trPr>
          <w:trHeight w:val="2250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Освобождение от уплаты земельного налога малоимущих семей, состоящих на учете в органах социальной защиты населения, за земельные участки, занятые жилищным фондом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Решение Барнаульской гор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одской Думы от 09.10.2012 №839 «</w:t>
            </w:r>
            <w:r w:rsidRPr="00627624">
              <w:rPr>
                <w:rFonts w:ascii="PT Astra Serif" w:hAnsi="PT Astra Serif"/>
                <w:sz w:val="24"/>
                <w:szCs w:val="24"/>
              </w:rPr>
              <w:t xml:space="preserve">Об утверждении Положения о земельном налоге на территории городского округа - </w:t>
            </w:r>
            <w:r w:rsidR="00627624">
              <w:rPr>
                <w:rFonts w:ascii="PT Astra Serif" w:hAnsi="PT Astra Serif"/>
                <w:sz w:val="24"/>
                <w:szCs w:val="24"/>
              </w:rPr>
              <w:t>города Барнаула Алтайского края»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9,0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Да</w:t>
            </w:r>
          </w:p>
        </w:tc>
      </w:tr>
      <w:tr w:rsidR="00653C22" w:rsidRPr="00653C22" w:rsidTr="00B127FE">
        <w:trPr>
          <w:trHeight w:val="798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Освобождение от уплаты земельного налога многодетных семей за земельные участки, занятые жилищным фондом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Решение Барнаульской гор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одской Думы от 09.10.2012 №839 «</w:t>
            </w:r>
            <w:r w:rsidRPr="00627624">
              <w:rPr>
                <w:rFonts w:ascii="PT Astra Serif" w:hAnsi="PT Astra Serif"/>
                <w:sz w:val="24"/>
                <w:szCs w:val="24"/>
              </w:rPr>
              <w:t xml:space="preserve">Об утверждении Положения о земельном налоге на территории </w:t>
            </w:r>
            <w:r w:rsidRPr="00627624">
              <w:rPr>
                <w:rFonts w:ascii="PT Astra Serif" w:hAnsi="PT Astra Serif"/>
                <w:sz w:val="24"/>
                <w:szCs w:val="24"/>
              </w:rPr>
              <w:lastRenderedPageBreak/>
              <w:t>городского округа - города Барнаула</w:t>
            </w:r>
            <w:r w:rsidR="00627624">
              <w:rPr>
                <w:rFonts w:ascii="PT Astra Serif" w:hAnsi="PT Astra Serif"/>
                <w:sz w:val="24"/>
                <w:szCs w:val="24"/>
              </w:rPr>
              <w:t xml:space="preserve"> Алтайского края»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lastRenderedPageBreak/>
              <w:t>803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292,5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Да</w:t>
            </w:r>
          </w:p>
        </w:tc>
      </w:tr>
      <w:tr w:rsidR="00653C22" w:rsidRPr="00653C22" w:rsidTr="00B127FE">
        <w:trPr>
          <w:trHeight w:val="3789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Освобождение от уплаты земельного налога физических лиц за земельные участки, расположенные в зонах, затапливаемых паводковыми и (или) грунтовыми водами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Решение Барнаульской гор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одской Думы от 09.10.2012 №839 «</w:t>
            </w:r>
            <w:r w:rsidRPr="00627624">
              <w:rPr>
                <w:rFonts w:ascii="PT Astra Serif" w:hAnsi="PT Astra Serif"/>
                <w:sz w:val="24"/>
                <w:szCs w:val="24"/>
              </w:rPr>
              <w:t xml:space="preserve">Об утверждении Положения о земельном налоге на территории городского округа - </w:t>
            </w:r>
            <w:r w:rsidR="00627624">
              <w:rPr>
                <w:rFonts w:ascii="PT Astra Serif" w:hAnsi="PT Astra Serif"/>
                <w:sz w:val="24"/>
                <w:szCs w:val="24"/>
              </w:rPr>
              <w:t>города Барнаула Алтайского края»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8,6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Да</w:t>
            </w:r>
          </w:p>
        </w:tc>
      </w:tr>
      <w:tr w:rsidR="00653C22" w:rsidRPr="00653C22" w:rsidTr="00B127FE">
        <w:trPr>
          <w:trHeight w:val="2250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 xml:space="preserve">Освобождение от уплаты земельного налога председателей органов территориального общественного самоуправления за земельные участки, занятые жилищным фондом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127FE" w:rsidRDefault="00B127FE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</w:p>
          <w:p w:rsidR="00B127FE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Решение Барнаульской гор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одской Думы от 09.10.2012 №839 «</w:t>
            </w:r>
            <w:r w:rsidRPr="00627624">
              <w:rPr>
                <w:rFonts w:ascii="PT Astra Serif" w:hAnsi="PT Astra Serif"/>
                <w:sz w:val="24"/>
                <w:szCs w:val="24"/>
              </w:rPr>
              <w:t xml:space="preserve">Об утверждении Положения о земельном налоге на территории городского округа - </w:t>
            </w:r>
            <w:r w:rsidR="00627624">
              <w:rPr>
                <w:rFonts w:ascii="PT Astra Serif" w:hAnsi="PT Astra Serif"/>
                <w:sz w:val="24"/>
                <w:szCs w:val="24"/>
              </w:rPr>
              <w:t>города Барнаула Алтайского края»</w:t>
            </w:r>
          </w:p>
          <w:p w:rsidR="00B127FE" w:rsidRPr="00627624" w:rsidRDefault="00B127FE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1,9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Да</w:t>
            </w:r>
          </w:p>
        </w:tc>
      </w:tr>
      <w:tr w:rsidR="00653C22" w:rsidRPr="00653C22" w:rsidTr="00B127FE">
        <w:trPr>
          <w:trHeight w:val="4625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Освобождение от уплаты земельного налога участников Великой Отечественной в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ойны, лиц, награжденных знаком «Житель блокадного Ленинграда»</w:t>
            </w:r>
            <w:r w:rsidRPr="00627624">
              <w:rPr>
                <w:rFonts w:ascii="PT Astra Serif" w:hAnsi="PT Astra Serif"/>
                <w:sz w:val="24"/>
                <w:szCs w:val="24"/>
              </w:rPr>
              <w:t>, бывших несовершеннолетних узников фашистских концлагерей за земельные участки, занятые жилищным фондом или приобретенные (предоставленные) для индивидуального жилищного строительства, строительства и эксплуатации стационарных индивидуальных гаражей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Решение Барнаульской гор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одской Думы от 09.10.2012 №839 «</w:t>
            </w:r>
            <w:r w:rsidRPr="00627624">
              <w:rPr>
                <w:rFonts w:ascii="PT Astra Serif" w:hAnsi="PT Astra Serif"/>
                <w:sz w:val="24"/>
                <w:szCs w:val="24"/>
              </w:rPr>
              <w:t xml:space="preserve">Об утверждении Положения о земельном налоге на территории городского округа - </w:t>
            </w:r>
            <w:r w:rsidR="00627624">
              <w:rPr>
                <w:rFonts w:ascii="PT Astra Serif" w:hAnsi="PT Astra Serif"/>
                <w:sz w:val="24"/>
                <w:szCs w:val="24"/>
              </w:rPr>
              <w:t>города Барнаула Алтайского края»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0,4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Да</w:t>
            </w:r>
          </w:p>
        </w:tc>
      </w:tr>
      <w:tr w:rsidR="00653C22" w:rsidRPr="00653C22" w:rsidTr="00B127FE">
        <w:trPr>
          <w:trHeight w:val="5334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Освобождение от уплаты земельного налога гаражных, погребных, гаражно-погребных кооперативов, имеющих членов - участников Великой Отечественной в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ойны, лиц, награжденных знаком «Житель блокадного Ленинграда»</w:t>
            </w:r>
            <w:r w:rsidRPr="00627624">
              <w:rPr>
                <w:rFonts w:ascii="PT Astra Serif" w:hAnsi="PT Astra Serif"/>
                <w:sz w:val="24"/>
                <w:szCs w:val="24"/>
              </w:rPr>
              <w:t>, бывших несовершеннолетних узников фашистских концлагерей - на долю земельного участка, определяемую пропорционально количеству членов кооператива, относящихся к данной категории граждан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Решение Барнаульской гор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одской Думы от 09.10.2012 №839 «</w:t>
            </w:r>
            <w:r w:rsidRPr="00627624">
              <w:rPr>
                <w:rFonts w:ascii="PT Astra Serif" w:hAnsi="PT Astra Serif"/>
                <w:sz w:val="24"/>
                <w:szCs w:val="24"/>
              </w:rPr>
              <w:t xml:space="preserve">Об утверждении Положения о земельном налоге на территории городского округа - </w:t>
            </w:r>
            <w:r w:rsidR="00627624">
              <w:rPr>
                <w:rFonts w:ascii="PT Astra Serif" w:hAnsi="PT Astra Serif"/>
                <w:sz w:val="24"/>
                <w:szCs w:val="24"/>
              </w:rPr>
              <w:t>города Барнаула Алтайского края»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Да</w:t>
            </w:r>
          </w:p>
        </w:tc>
      </w:tr>
      <w:tr w:rsidR="00653C22" w:rsidRPr="00653C22" w:rsidTr="00B127FE">
        <w:trPr>
          <w:trHeight w:val="2970"/>
        </w:trPr>
        <w:tc>
          <w:tcPr>
            <w:tcW w:w="617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8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Предоставление налогового вычета, уменьшающего налоговую базу (50 000 рублей), налогоплательщикам, указанным в пункте 5 статьи 391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Решение Барнаульской гор</w:t>
            </w:r>
            <w:r w:rsidR="00627624">
              <w:rPr>
                <w:rFonts w:ascii="PT Astra Serif" w:hAnsi="PT Astra Serif"/>
                <w:sz w:val="24"/>
                <w:szCs w:val="24"/>
              </w:rPr>
              <w:t>одской Думы от 09.10.2012 №839 «</w:t>
            </w:r>
            <w:r w:rsidRPr="00627624">
              <w:rPr>
                <w:rFonts w:ascii="PT Astra Serif" w:hAnsi="PT Astra Serif"/>
                <w:sz w:val="24"/>
                <w:szCs w:val="24"/>
              </w:rPr>
              <w:t xml:space="preserve">Об утверждении Положения о земельном налоге на территории городского округа - </w:t>
            </w:r>
            <w:r w:rsidR="00627624">
              <w:rPr>
                <w:rFonts w:ascii="PT Astra Serif" w:hAnsi="PT Astra Serif"/>
                <w:sz w:val="24"/>
                <w:szCs w:val="24"/>
              </w:rPr>
              <w:t>города Барнаула Алтайского края»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260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19,9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Повышение уровня и качества жизни граждан, проживающих на территории города Барнаула, дополнительными мерами социальной поддержки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Да</w:t>
            </w:r>
          </w:p>
        </w:tc>
      </w:tr>
      <w:tr w:rsidR="00653C22" w:rsidRPr="00653C22" w:rsidTr="00B127FE">
        <w:trPr>
          <w:trHeight w:val="206"/>
        </w:trPr>
        <w:tc>
          <w:tcPr>
            <w:tcW w:w="6374" w:type="dxa"/>
            <w:gridSpan w:val="3"/>
            <w:shd w:val="clear" w:color="auto" w:fill="auto"/>
            <w:vAlign w:val="center"/>
          </w:tcPr>
          <w:p w:rsidR="00653C22" w:rsidRPr="00627624" w:rsidRDefault="00627624" w:rsidP="00B127FE">
            <w:pPr>
              <w:spacing w:line="235" w:lineRule="auto"/>
              <w:rPr>
                <w:rFonts w:ascii="PT Astra Serif" w:hAnsi="PT Astra Serif" w:cs="Arial"/>
                <w:color w:val="5B5B5B"/>
                <w:sz w:val="24"/>
                <w:szCs w:val="24"/>
              </w:rPr>
            </w:pPr>
            <w:r w:rsidRPr="00627624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Итого</w:t>
            </w:r>
            <w:r w:rsidR="00653C22" w:rsidRPr="00627624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по земельному налогу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18 444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4 994,1</w:t>
            </w:r>
          </w:p>
        </w:tc>
        <w:tc>
          <w:tcPr>
            <w:tcW w:w="2835" w:type="dxa"/>
            <w:shd w:val="clear" w:color="auto" w:fill="auto"/>
          </w:tcPr>
          <w:p w:rsidR="00653C22" w:rsidRPr="00627624" w:rsidRDefault="00653C22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653C22" w:rsidRPr="00627624" w:rsidRDefault="00653C22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3C22" w:rsidRPr="00653C22" w:rsidTr="00B127FE">
        <w:trPr>
          <w:trHeight w:val="231"/>
        </w:trPr>
        <w:tc>
          <w:tcPr>
            <w:tcW w:w="6374" w:type="dxa"/>
            <w:gridSpan w:val="3"/>
            <w:shd w:val="clear" w:color="auto" w:fill="auto"/>
            <w:vAlign w:val="center"/>
          </w:tcPr>
          <w:p w:rsidR="00653C22" w:rsidRPr="00627624" w:rsidRDefault="00653C22" w:rsidP="00B127FE">
            <w:pPr>
              <w:spacing w:after="0" w:line="235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7624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Всего по местным налогам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18 813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53C22" w:rsidRPr="00627624" w:rsidRDefault="00653C22" w:rsidP="00B127FE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7624">
              <w:rPr>
                <w:rFonts w:ascii="PT Astra Serif" w:hAnsi="PT Astra Serif"/>
                <w:sz w:val="24"/>
                <w:szCs w:val="24"/>
              </w:rPr>
              <w:t>5 357,4</w:t>
            </w:r>
          </w:p>
        </w:tc>
        <w:tc>
          <w:tcPr>
            <w:tcW w:w="2835" w:type="dxa"/>
            <w:shd w:val="clear" w:color="auto" w:fill="auto"/>
          </w:tcPr>
          <w:p w:rsidR="00653C22" w:rsidRPr="00627624" w:rsidRDefault="00653C22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653C22" w:rsidRPr="00627624" w:rsidRDefault="00653C22" w:rsidP="00B127F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27624" w:rsidRDefault="00627624" w:rsidP="00627624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627624" w:rsidSect="00906773">
      <w:headerReference w:type="default" r:id="rId6"/>
      <w:pgSz w:w="16838" w:h="11906" w:orient="landscape"/>
      <w:pgMar w:top="0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274" w:rsidRDefault="001C6274" w:rsidP="001C6274">
      <w:pPr>
        <w:spacing w:after="0" w:line="240" w:lineRule="auto"/>
      </w:pPr>
      <w:r>
        <w:separator/>
      </w:r>
    </w:p>
  </w:endnote>
  <w:endnote w:type="continuationSeparator" w:id="0">
    <w:p w:rsidR="001C6274" w:rsidRDefault="001C6274" w:rsidP="001C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274" w:rsidRDefault="001C6274" w:rsidP="001C6274">
      <w:pPr>
        <w:spacing w:after="0" w:line="240" w:lineRule="auto"/>
      </w:pPr>
      <w:r>
        <w:separator/>
      </w:r>
    </w:p>
  </w:footnote>
  <w:footnote w:type="continuationSeparator" w:id="0">
    <w:p w:rsidR="001C6274" w:rsidRDefault="001C6274" w:rsidP="001C6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74" w:rsidRPr="001C6274" w:rsidRDefault="001C6274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23"/>
    <w:rsid w:val="0005088C"/>
    <w:rsid w:val="000B259E"/>
    <w:rsid w:val="000F09D1"/>
    <w:rsid w:val="001C6274"/>
    <w:rsid w:val="002766B3"/>
    <w:rsid w:val="003F5591"/>
    <w:rsid w:val="00627624"/>
    <w:rsid w:val="00644731"/>
    <w:rsid w:val="00652269"/>
    <w:rsid w:val="00653C22"/>
    <w:rsid w:val="00716A85"/>
    <w:rsid w:val="00800AD4"/>
    <w:rsid w:val="00906773"/>
    <w:rsid w:val="00924837"/>
    <w:rsid w:val="00B127FE"/>
    <w:rsid w:val="00D857F7"/>
    <w:rsid w:val="00E27A23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765E5-AD1F-4732-9D46-DCE750EA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274"/>
  </w:style>
  <w:style w:type="paragraph" w:styleId="a5">
    <w:name w:val="footer"/>
    <w:basedOn w:val="a"/>
    <w:link w:val="a6"/>
    <w:uiPriority w:val="99"/>
    <w:unhideWhenUsed/>
    <w:rsid w:val="001C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274"/>
  </w:style>
  <w:style w:type="paragraph" w:styleId="a7">
    <w:name w:val="Balloon Text"/>
    <w:basedOn w:val="a"/>
    <w:link w:val="a8"/>
    <w:uiPriority w:val="99"/>
    <w:semiHidden/>
    <w:unhideWhenUsed/>
    <w:rsid w:val="00906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6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Зонова</dc:creator>
  <cp:keywords/>
  <dc:description/>
  <cp:lastModifiedBy>Екатерина Зонова</cp:lastModifiedBy>
  <cp:revision>5</cp:revision>
  <cp:lastPrinted>2021-08-04T09:02:00Z</cp:lastPrinted>
  <dcterms:created xsi:type="dcterms:W3CDTF">2024-08-23T04:20:00Z</dcterms:created>
  <dcterms:modified xsi:type="dcterms:W3CDTF">2025-09-01T03:13:00Z</dcterms:modified>
</cp:coreProperties>
</file>